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7A" w:rsidRDefault="00C276F6">
      <w:r>
        <w:rPr>
          <w:noProof/>
          <w:lang w:eastAsia="de-CH"/>
        </w:rPr>
        <mc:AlternateContent>
          <mc:Choice Requires="wps">
            <w:drawing>
              <wp:anchor distT="0" distB="0" distL="114300" distR="114300" simplePos="0" relativeHeight="251657728" behindDoc="0" locked="0" layoutInCell="1" allowOverlap="1">
                <wp:simplePos x="0" y="0"/>
                <wp:positionH relativeFrom="column">
                  <wp:posOffset>3886200</wp:posOffset>
                </wp:positionH>
                <wp:positionV relativeFrom="paragraph">
                  <wp:posOffset>114300</wp:posOffset>
                </wp:positionV>
                <wp:extent cx="1828800" cy="800100"/>
                <wp:effectExtent l="0" t="0" r="1270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FFFFFF"/>
                          </a:solidFill>
                          <a:miter lim="800000"/>
                          <a:headEnd/>
                          <a:tailEnd/>
                        </a:ln>
                      </wps:spPr>
                      <wps:txbx>
                        <w:txbxContent>
                          <w:tbl>
                            <w:tblPr>
                              <w:tblW w:w="27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46"/>
                              <w:gridCol w:w="425"/>
                              <w:gridCol w:w="900"/>
                              <w:gridCol w:w="540"/>
                            </w:tblGrid>
                            <w:tr w:rsidR="009D5DB1" w:rsidRPr="003113DD" w:rsidTr="003113DD">
                              <w:trPr>
                                <w:trHeight w:val="529"/>
                              </w:trPr>
                              <w:tc>
                                <w:tcPr>
                                  <w:tcW w:w="2711" w:type="dxa"/>
                                  <w:gridSpan w:val="4"/>
                                  <w:shd w:val="clear" w:color="auto" w:fill="auto"/>
                                  <w:tcMar>
                                    <w:left w:w="11" w:type="dxa"/>
                                    <w:right w:w="11" w:type="dxa"/>
                                  </w:tcMar>
                                </w:tcPr>
                                <w:p w:rsidR="009D5DB1" w:rsidRPr="003113DD" w:rsidRDefault="009D5DB1" w:rsidP="003113DD">
                                  <w:pPr>
                                    <w:overflowPunct w:val="0"/>
                                    <w:autoSpaceDE w:val="0"/>
                                    <w:autoSpaceDN w:val="0"/>
                                    <w:adjustRightInd w:val="0"/>
                                    <w:jc w:val="center"/>
                                    <w:textAlignment w:val="baseline"/>
                                    <w:rPr>
                                      <w:b/>
                                      <w:sz w:val="20"/>
                                    </w:rPr>
                                  </w:pPr>
                                  <w:r w:rsidRPr="003113DD">
                                    <w:rPr>
                                      <w:b/>
                                      <w:sz w:val="20"/>
                                    </w:rPr>
                                    <w:t>EINGANG GR</w:t>
                                  </w:r>
                                </w:p>
                                <w:p w:rsidR="009D5DB1" w:rsidRPr="003113DD" w:rsidRDefault="009D5DB1" w:rsidP="003113DD">
                                  <w:pPr>
                                    <w:overflowPunct w:val="0"/>
                                    <w:autoSpaceDE w:val="0"/>
                                    <w:autoSpaceDN w:val="0"/>
                                    <w:adjustRightInd w:val="0"/>
                                    <w:jc w:val="center"/>
                                    <w:textAlignment w:val="baseline"/>
                                    <w:rPr>
                                      <w:sz w:val="20"/>
                                    </w:rPr>
                                  </w:pPr>
                                </w:p>
                              </w:tc>
                            </w:tr>
                            <w:tr w:rsidR="009D5DB1" w:rsidRPr="003113DD" w:rsidTr="003113DD">
                              <w:trPr>
                                <w:trHeight w:val="426"/>
                              </w:trPr>
                              <w:tc>
                                <w:tcPr>
                                  <w:tcW w:w="846" w:type="dxa"/>
                                  <w:shd w:val="clear" w:color="auto" w:fill="auto"/>
                                  <w:tcMar>
                                    <w:left w:w="11" w:type="dxa"/>
                                    <w:right w:w="11" w:type="dxa"/>
                                  </w:tcMar>
                                  <w:vAlign w:val="center"/>
                                </w:tcPr>
                                <w:p w:rsidR="009D5DB1" w:rsidRPr="003113DD" w:rsidRDefault="009D5DB1" w:rsidP="003113DD">
                                  <w:pPr>
                                    <w:overflowPunct w:val="0"/>
                                    <w:autoSpaceDE w:val="0"/>
                                    <w:autoSpaceDN w:val="0"/>
                                    <w:adjustRightInd w:val="0"/>
                                    <w:textAlignment w:val="baseline"/>
                                    <w:rPr>
                                      <w:sz w:val="20"/>
                                    </w:rPr>
                                  </w:pPr>
                                  <w:r w:rsidRPr="003113DD">
                                    <w:rPr>
                                      <w:sz w:val="20"/>
                                    </w:rPr>
                                    <w:t>GRG Nr.</w:t>
                                  </w:r>
                                </w:p>
                              </w:tc>
                              <w:tc>
                                <w:tcPr>
                                  <w:tcW w:w="425" w:type="dxa"/>
                                  <w:shd w:val="clear" w:color="auto" w:fill="auto"/>
                                  <w:tcMar>
                                    <w:left w:w="11" w:type="dxa"/>
                                    <w:right w:w="11" w:type="dxa"/>
                                  </w:tcMar>
                                  <w:vAlign w:val="center"/>
                                </w:tcPr>
                                <w:p w:rsidR="009D5DB1" w:rsidRPr="003113DD" w:rsidRDefault="009D5DB1" w:rsidP="003113DD">
                                  <w:pPr>
                                    <w:overflowPunct w:val="0"/>
                                    <w:autoSpaceDE w:val="0"/>
                                    <w:autoSpaceDN w:val="0"/>
                                    <w:adjustRightInd w:val="0"/>
                                    <w:jc w:val="center"/>
                                    <w:textAlignment w:val="baseline"/>
                                    <w:rPr>
                                      <w:sz w:val="20"/>
                                    </w:rPr>
                                  </w:pPr>
                                </w:p>
                              </w:tc>
                              <w:tc>
                                <w:tcPr>
                                  <w:tcW w:w="900" w:type="dxa"/>
                                  <w:shd w:val="clear" w:color="auto" w:fill="auto"/>
                                  <w:tcMar>
                                    <w:left w:w="11" w:type="dxa"/>
                                    <w:right w:w="11" w:type="dxa"/>
                                  </w:tcMar>
                                  <w:vAlign w:val="center"/>
                                </w:tcPr>
                                <w:p w:rsidR="009D5DB1" w:rsidRPr="003113DD" w:rsidRDefault="009D5DB1" w:rsidP="003113DD">
                                  <w:pPr>
                                    <w:overflowPunct w:val="0"/>
                                    <w:autoSpaceDE w:val="0"/>
                                    <w:autoSpaceDN w:val="0"/>
                                    <w:adjustRightInd w:val="0"/>
                                    <w:jc w:val="center"/>
                                    <w:textAlignment w:val="baseline"/>
                                    <w:rPr>
                                      <w:sz w:val="20"/>
                                    </w:rPr>
                                  </w:pPr>
                                </w:p>
                              </w:tc>
                              <w:tc>
                                <w:tcPr>
                                  <w:tcW w:w="540" w:type="dxa"/>
                                  <w:shd w:val="clear" w:color="auto" w:fill="auto"/>
                                  <w:tcMar>
                                    <w:left w:w="11" w:type="dxa"/>
                                    <w:right w:w="11" w:type="dxa"/>
                                  </w:tcMar>
                                  <w:vAlign w:val="center"/>
                                </w:tcPr>
                                <w:p w:rsidR="009D5DB1" w:rsidRPr="003113DD" w:rsidRDefault="009D5DB1" w:rsidP="003113DD">
                                  <w:pPr>
                                    <w:overflowPunct w:val="0"/>
                                    <w:autoSpaceDE w:val="0"/>
                                    <w:autoSpaceDN w:val="0"/>
                                    <w:adjustRightInd w:val="0"/>
                                    <w:jc w:val="center"/>
                                    <w:textAlignment w:val="baseline"/>
                                    <w:rPr>
                                      <w:sz w:val="20"/>
                                    </w:rPr>
                                  </w:pPr>
                                </w:p>
                              </w:tc>
                            </w:tr>
                          </w:tbl>
                          <w:p w:rsidR="009D5DB1" w:rsidRPr="00C94142" w:rsidRDefault="009D5DB1" w:rsidP="009D5DB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6pt;margin-top:9pt;width:2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" strokecolor="white">
                <v:textbox>
                  <w:txbxContent>
                    <w:tbl>
                      <w:tblPr>
                        <w:tblW w:w="27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46"/>
                        <w:gridCol w:w="425"/>
                        <w:gridCol w:w="900"/>
                        <w:gridCol w:w="540"/>
                      </w:tblGrid>
                      <w:tr w:rsidR="009D5DB1" w:rsidRPr="003113DD" w:rsidTr="003113DD">
                        <w:trPr>
                          <w:trHeight w:val="529"/>
                        </w:trPr>
                        <w:tc>
                          <w:tcPr>
                            <w:tcW w:w="2711" w:type="dxa"/>
                            <w:gridSpan w:val="4"/>
                            <w:shd w:val="clear" w:color="auto" w:fill="auto"/>
                            <w:tcMar>
                              <w:left w:w="11" w:type="dxa"/>
                              <w:right w:w="11" w:type="dxa"/>
                            </w:tcMar>
                          </w:tcPr>
                          <w:p w:rsidR="009D5DB1" w:rsidRPr="003113DD" w:rsidRDefault="009D5DB1" w:rsidP="003113DD">
                            <w:pPr>
                              <w:overflowPunct w:val="0"/>
                              <w:autoSpaceDE w:val="0"/>
                              <w:autoSpaceDN w:val="0"/>
                              <w:adjustRightInd w:val="0"/>
                              <w:jc w:val="center"/>
                              <w:textAlignment w:val="baseline"/>
                              <w:rPr>
                                <w:b/>
                                <w:sz w:val="20"/>
                              </w:rPr>
                            </w:pPr>
                            <w:r w:rsidRPr="003113DD">
                              <w:rPr>
                                <w:b/>
                                <w:sz w:val="20"/>
                              </w:rPr>
                              <w:t>EINGANG GR</w:t>
                            </w:r>
                          </w:p>
                          <w:p w:rsidR="009D5DB1" w:rsidRPr="003113DD" w:rsidRDefault="009D5DB1" w:rsidP="003113DD">
                            <w:pPr>
                              <w:overflowPunct w:val="0"/>
                              <w:autoSpaceDE w:val="0"/>
                              <w:autoSpaceDN w:val="0"/>
                              <w:adjustRightInd w:val="0"/>
                              <w:jc w:val="center"/>
                              <w:textAlignment w:val="baseline"/>
                              <w:rPr>
                                <w:sz w:val="20"/>
                              </w:rPr>
                            </w:pPr>
                          </w:p>
                        </w:tc>
                      </w:tr>
                      <w:tr w:rsidR="009D5DB1" w:rsidRPr="003113DD" w:rsidTr="003113DD">
                        <w:trPr>
                          <w:trHeight w:val="426"/>
                        </w:trPr>
                        <w:tc>
                          <w:tcPr>
                            <w:tcW w:w="846" w:type="dxa"/>
                            <w:shd w:val="clear" w:color="auto" w:fill="auto"/>
                            <w:tcMar>
                              <w:left w:w="11" w:type="dxa"/>
                              <w:right w:w="11" w:type="dxa"/>
                            </w:tcMar>
                            <w:vAlign w:val="center"/>
                          </w:tcPr>
                          <w:p w:rsidR="009D5DB1" w:rsidRPr="003113DD" w:rsidRDefault="009D5DB1" w:rsidP="003113DD">
                            <w:pPr>
                              <w:overflowPunct w:val="0"/>
                              <w:autoSpaceDE w:val="0"/>
                              <w:autoSpaceDN w:val="0"/>
                              <w:adjustRightInd w:val="0"/>
                              <w:textAlignment w:val="baseline"/>
                              <w:rPr>
                                <w:sz w:val="20"/>
                              </w:rPr>
                            </w:pPr>
                            <w:r w:rsidRPr="003113DD">
                              <w:rPr>
                                <w:sz w:val="20"/>
                              </w:rPr>
                              <w:t>GRG Nr.</w:t>
                            </w:r>
                          </w:p>
                        </w:tc>
                        <w:tc>
                          <w:tcPr>
                            <w:tcW w:w="425" w:type="dxa"/>
                            <w:shd w:val="clear" w:color="auto" w:fill="auto"/>
                            <w:tcMar>
                              <w:left w:w="11" w:type="dxa"/>
                              <w:right w:w="11" w:type="dxa"/>
                            </w:tcMar>
                            <w:vAlign w:val="center"/>
                          </w:tcPr>
                          <w:p w:rsidR="009D5DB1" w:rsidRPr="003113DD" w:rsidRDefault="009D5DB1" w:rsidP="003113DD">
                            <w:pPr>
                              <w:overflowPunct w:val="0"/>
                              <w:autoSpaceDE w:val="0"/>
                              <w:autoSpaceDN w:val="0"/>
                              <w:adjustRightInd w:val="0"/>
                              <w:jc w:val="center"/>
                              <w:textAlignment w:val="baseline"/>
                              <w:rPr>
                                <w:sz w:val="20"/>
                              </w:rPr>
                            </w:pPr>
                          </w:p>
                        </w:tc>
                        <w:tc>
                          <w:tcPr>
                            <w:tcW w:w="900" w:type="dxa"/>
                            <w:shd w:val="clear" w:color="auto" w:fill="auto"/>
                            <w:tcMar>
                              <w:left w:w="11" w:type="dxa"/>
                              <w:right w:w="11" w:type="dxa"/>
                            </w:tcMar>
                            <w:vAlign w:val="center"/>
                          </w:tcPr>
                          <w:p w:rsidR="009D5DB1" w:rsidRPr="003113DD" w:rsidRDefault="009D5DB1" w:rsidP="003113DD">
                            <w:pPr>
                              <w:overflowPunct w:val="0"/>
                              <w:autoSpaceDE w:val="0"/>
                              <w:autoSpaceDN w:val="0"/>
                              <w:adjustRightInd w:val="0"/>
                              <w:jc w:val="center"/>
                              <w:textAlignment w:val="baseline"/>
                              <w:rPr>
                                <w:sz w:val="20"/>
                              </w:rPr>
                            </w:pPr>
                          </w:p>
                        </w:tc>
                        <w:tc>
                          <w:tcPr>
                            <w:tcW w:w="540" w:type="dxa"/>
                            <w:shd w:val="clear" w:color="auto" w:fill="auto"/>
                            <w:tcMar>
                              <w:left w:w="11" w:type="dxa"/>
                              <w:right w:w="11" w:type="dxa"/>
                            </w:tcMar>
                            <w:vAlign w:val="center"/>
                          </w:tcPr>
                          <w:p w:rsidR="009D5DB1" w:rsidRPr="003113DD" w:rsidRDefault="009D5DB1" w:rsidP="003113DD">
                            <w:pPr>
                              <w:overflowPunct w:val="0"/>
                              <w:autoSpaceDE w:val="0"/>
                              <w:autoSpaceDN w:val="0"/>
                              <w:adjustRightInd w:val="0"/>
                              <w:jc w:val="center"/>
                              <w:textAlignment w:val="baseline"/>
                              <w:rPr>
                                <w:sz w:val="20"/>
                              </w:rPr>
                            </w:pPr>
                          </w:p>
                        </w:tc>
                      </w:tr>
                    </w:tbl>
                    <w:p w:rsidR="009D5DB1" w:rsidRPr="00C94142" w:rsidRDefault="009D5DB1" w:rsidP="009D5DB1">
                      <w:pPr>
                        <w:rPr>
                          <w:sz w:val="16"/>
                          <w:szCs w:val="16"/>
                        </w:rPr>
                      </w:pPr>
                    </w:p>
                  </w:txbxContent>
                </v:textbox>
              </v:shape>
            </w:pict>
          </mc:Fallback>
        </mc:AlternateContent>
      </w:r>
    </w:p>
    <w:p w:rsidR="0072027A" w:rsidRDefault="008C3DAB" w:rsidP="008C3DAB">
      <w:pPr>
        <w:tabs>
          <w:tab w:val="left" w:pos="3402"/>
        </w:tabs>
      </w:pPr>
      <w:r>
        <w:t>Brigitta Hartmann</w:t>
      </w:r>
      <w:r>
        <w:tab/>
        <w:t>Barbara Kern</w:t>
      </w:r>
    </w:p>
    <w:p w:rsidR="0072027A" w:rsidRDefault="008C3DAB" w:rsidP="008C3DAB">
      <w:pPr>
        <w:tabs>
          <w:tab w:val="left" w:pos="3402"/>
        </w:tabs>
      </w:pPr>
      <w:r>
        <w:t>Grüne</w:t>
      </w:r>
      <w:r>
        <w:tab/>
        <w:t>SP</w:t>
      </w:r>
    </w:p>
    <w:p w:rsidR="0072027A" w:rsidRDefault="008C3DAB" w:rsidP="008C3DAB">
      <w:pPr>
        <w:tabs>
          <w:tab w:val="left" w:pos="3402"/>
        </w:tabs>
      </w:pPr>
      <w:r>
        <w:t>Magdenaustrasse 12</w:t>
      </w:r>
      <w:r>
        <w:tab/>
        <w:t>Stählistrasse 15</w:t>
      </w:r>
    </w:p>
    <w:p w:rsidR="0072027A" w:rsidRDefault="008C3DAB" w:rsidP="008C3DAB">
      <w:pPr>
        <w:tabs>
          <w:tab w:val="left" w:pos="3402"/>
        </w:tabs>
      </w:pPr>
      <w:r>
        <w:t>8570 Weinfelden</w:t>
      </w:r>
      <w:r>
        <w:tab/>
        <w:t>8280 Kreuzlingen</w:t>
      </w:r>
    </w:p>
    <w:p w:rsidR="0072027A" w:rsidRDefault="0072027A"/>
    <w:p w:rsidR="0072027A" w:rsidRDefault="0072027A">
      <w:pPr>
        <w:rPr>
          <w:sz w:val="22"/>
        </w:rPr>
      </w:pPr>
    </w:p>
    <w:p w:rsidR="00B1614C" w:rsidRDefault="00B1614C">
      <w:pPr>
        <w:rPr>
          <w:sz w:val="22"/>
        </w:rPr>
      </w:pPr>
    </w:p>
    <w:p w:rsidR="00B1614C" w:rsidRDefault="00B1614C">
      <w:pPr>
        <w:rPr>
          <w:sz w:val="22"/>
        </w:rPr>
      </w:pPr>
    </w:p>
    <w:p w:rsidR="0072027A" w:rsidRDefault="00B1614C">
      <w:pPr>
        <w:pStyle w:val="berschrift2"/>
      </w:pPr>
      <w:r>
        <w:t>Einfache Anfrage</w:t>
      </w:r>
    </w:p>
    <w:p w:rsidR="0072027A" w:rsidRPr="00D57D6D" w:rsidRDefault="00B616ED" w:rsidP="00D57D6D">
      <w:pPr>
        <w:spacing w:after="360" w:line="240" w:lineRule="auto"/>
        <w:outlineLvl w:val="0"/>
        <w:rPr>
          <w:rFonts w:cs="Arial"/>
          <w:b/>
          <w:bCs/>
          <w:color w:val="000000"/>
          <w:kern w:val="36"/>
          <w:sz w:val="28"/>
          <w:szCs w:val="28"/>
          <w:lang w:eastAsia="de-CH"/>
        </w:rPr>
      </w:pPr>
      <w:r w:rsidRPr="000B7315">
        <w:rPr>
          <w:b/>
          <w:bCs/>
          <w:sz w:val="28"/>
          <w:szCs w:val="28"/>
        </w:rPr>
        <w:t>„</w:t>
      </w:r>
      <w:r w:rsidR="00B1614C">
        <w:rPr>
          <w:b/>
          <w:bCs/>
          <w:sz w:val="28"/>
          <w:szCs w:val="28"/>
        </w:rPr>
        <w:t>G</w:t>
      </w:r>
      <w:r w:rsidR="000B7315" w:rsidRPr="000B7315">
        <w:rPr>
          <w:rFonts w:cs="Arial"/>
          <w:b/>
          <w:bCs/>
          <w:color w:val="000000"/>
          <w:kern w:val="36"/>
          <w:sz w:val="28"/>
          <w:szCs w:val="28"/>
          <w:lang w:eastAsia="de-CH"/>
        </w:rPr>
        <w:t xml:space="preserve">eeignete </w:t>
      </w:r>
      <w:r w:rsidR="00B1614C">
        <w:rPr>
          <w:rFonts w:cs="Arial"/>
          <w:b/>
          <w:bCs/>
          <w:color w:val="000000"/>
          <w:kern w:val="36"/>
          <w:sz w:val="28"/>
          <w:szCs w:val="28"/>
          <w:lang w:eastAsia="de-CH"/>
        </w:rPr>
        <w:t xml:space="preserve">und </w:t>
      </w:r>
      <w:r w:rsidR="000B7315" w:rsidRPr="000B7315">
        <w:rPr>
          <w:rFonts w:cs="Arial"/>
          <w:b/>
          <w:bCs/>
          <w:color w:val="000000"/>
          <w:kern w:val="36"/>
          <w:sz w:val="28"/>
          <w:szCs w:val="28"/>
          <w:lang w:eastAsia="de-CH"/>
        </w:rPr>
        <w:t>Unterbringungs- und Betreuungsstruktur der unbegleiteten minderjährigen Asylsuchenden (UMA)</w:t>
      </w:r>
      <w:r w:rsidRPr="000B7315">
        <w:rPr>
          <w:b/>
          <w:bCs/>
          <w:sz w:val="28"/>
          <w:szCs w:val="28"/>
        </w:rPr>
        <w:t>“</w:t>
      </w:r>
    </w:p>
    <w:p w:rsidR="00B1614C" w:rsidRDefault="00B1614C" w:rsidP="00B1614C">
      <w:pPr>
        <w:rPr>
          <w:rFonts w:cs="Arial"/>
          <w:color w:val="000000"/>
          <w:lang w:eastAsia="de-CH"/>
        </w:rPr>
      </w:pPr>
      <w:r>
        <w:rPr>
          <w:rFonts w:cs="Arial"/>
          <w:color w:val="000000"/>
          <w:lang w:eastAsia="de-CH"/>
        </w:rPr>
        <w:t>Auch im Kanton Thurgau steigt die Zahl der unbegleiteten minderjährigen Asylsuchenden (UMA) stetig an. ZZt sind die UMA in Durchgangsheimen untergebracht. Ein paar haben das Glück, bei einer Pflegefamilie zu leben.</w:t>
      </w:r>
    </w:p>
    <w:p w:rsidR="00B1614C" w:rsidRDefault="00B1614C" w:rsidP="00B1614C">
      <w:pPr>
        <w:rPr>
          <w:rFonts w:cs="Arial"/>
          <w:color w:val="000000"/>
          <w:lang w:eastAsia="de-CH"/>
        </w:rPr>
      </w:pPr>
      <w:r>
        <w:rPr>
          <w:rFonts w:cs="Arial"/>
          <w:color w:val="000000"/>
          <w:lang w:eastAsia="de-CH"/>
        </w:rPr>
        <w:t>Tagsüber besuchen die Kinder die Schule (öffentliche Schule oder UMA-Schule der Peregrina-Stiftung). Jugendliche haben teilweise die Möglichkeit, Arbeitseinsätze zu leisten.</w:t>
      </w:r>
    </w:p>
    <w:p w:rsidR="00B1614C" w:rsidRDefault="00B1614C" w:rsidP="00B1614C">
      <w:pPr>
        <w:rPr>
          <w:rFonts w:cs="Arial"/>
          <w:color w:val="000000"/>
          <w:lang w:eastAsia="de-CH"/>
        </w:rPr>
      </w:pPr>
      <w:r>
        <w:rPr>
          <w:rFonts w:cs="Arial"/>
          <w:color w:val="000000"/>
          <w:lang w:eastAsia="de-CH"/>
        </w:rPr>
        <w:t>Am Abend, in der Nacht und an den Wochenenden sind die Kinder und Jugendlichen – die meist schwer traumatisiert sind – in den Durchgangsheimen ohne persönliche Begleitung. Sie leben zusammen mit anderen traumatisierten Erwachsenen.</w:t>
      </w:r>
    </w:p>
    <w:p w:rsidR="00B1614C" w:rsidRDefault="00B1614C" w:rsidP="00B1614C">
      <w:pPr>
        <w:rPr>
          <w:rFonts w:cs="Arial"/>
          <w:color w:val="000000"/>
          <w:lang w:eastAsia="de-CH"/>
        </w:rPr>
      </w:pPr>
    </w:p>
    <w:p w:rsidR="00B1614C" w:rsidRPr="00015950" w:rsidRDefault="00B1614C" w:rsidP="00B1614C">
      <w:pPr>
        <w:rPr>
          <w:rFonts w:cs="Arial"/>
        </w:rPr>
      </w:pPr>
      <w:r w:rsidRPr="00015950">
        <w:rPr>
          <w:rFonts w:cs="Arial"/>
        </w:rPr>
        <w:t>Bestand und Unterkunft UMA</w:t>
      </w:r>
      <w:r>
        <w:rPr>
          <w:rFonts w:cs="Arial"/>
        </w:rPr>
        <w:t xml:space="preserve"> im Kanton Thurgau</w:t>
      </w:r>
      <w:r w:rsidRPr="00015950">
        <w:rPr>
          <w:rFonts w:cs="Arial"/>
        </w:rPr>
        <w:t xml:space="preserve"> per 26. Februar 2016:</w:t>
      </w:r>
    </w:p>
    <w:p w:rsidR="00B1614C" w:rsidRPr="008C3DAB" w:rsidRDefault="00B1614C" w:rsidP="00B1614C">
      <w:pPr>
        <w:pStyle w:val="Listenabsatz"/>
        <w:numPr>
          <w:ilvl w:val="0"/>
          <w:numId w:val="1"/>
        </w:numPr>
        <w:rPr>
          <w:rFonts w:ascii="Arial" w:hAnsi="Arial" w:cs="Arial"/>
          <w:sz w:val="24"/>
          <w:szCs w:val="24"/>
        </w:rPr>
      </w:pPr>
      <w:r w:rsidRPr="008C3DAB">
        <w:rPr>
          <w:rFonts w:ascii="Arial" w:hAnsi="Arial" w:cs="Arial"/>
          <w:sz w:val="24"/>
          <w:szCs w:val="24"/>
        </w:rPr>
        <w:t>Im Februar 2016 verzeichnete der Kanton insgesamt 57 UMA</w:t>
      </w:r>
    </w:p>
    <w:p w:rsidR="00B1614C" w:rsidRPr="008C3DAB" w:rsidRDefault="00B1614C" w:rsidP="00B1614C">
      <w:pPr>
        <w:pStyle w:val="Listenabsatz"/>
        <w:numPr>
          <w:ilvl w:val="0"/>
          <w:numId w:val="1"/>
        </w:numPr>
        <w:rPr>
          <w:rFonts w:ascii="Arial" w:hAnsi="Arial" w:cs="Arial"/>
          <w:sz w:val="24"/>
          <w:szCs w:val="24"/>
        </w:rPr>
      </w:pPr>
      <w:r w:rsidRPr="008C3DAB">
        <w:rPr>
          <w:rFonts w:ascii="Arial" w:hAnsi="Arial" w:cs="Arial"/>
          <w:sz w:val="24"/>
          <w:szCs w:val="24"/>
        </w:rPr>
        <w:t>13 davon waren unter 16 Jahren (6 davon unter 15 Jahren)</w:t>
      </w:r>
    </w:p>
    <w:p w:rsidR="00B1614C" w:rsidRPr="000E797A" w:rsidRDefault="00B1614C" w:rsidP="00B1614C">
      <w:pPr>
        <w:pStyle w:val="Listenabsatz"/>
        <w:numPr>
          <w:ilvl w:val="0"/>
          <w:numId w:val="1"/>
        </w:numPr>
        <w:rPr>
          <w:rFonts w:ascii="Arial" w:hAnsi="Arial" w:cs="Arial"/>
          <w:sz w:val="24"/>
          <w:szCs w:val="24"/>
        </w:rPr>
      </w:pPr>
      <w:r w:rsidRPr="008C3DAB">
        <w:rPr>
          <w:rFonts w:ascii="Arial" w:hAnsi="Arial" w:cs="Arial"/>
          <w:sz w:val="24"/>
          <w:szCs w:val="24"/>
        </w:rPr>
        <w:t>44 UMA waren zwischen 16 und 18 Jahren (23 davon zwischen 16 und 17)</w:t>
      </w:r>
    </w:p>
    <w:p w:rsidR="00B1614C" w:rsidRDefault="00B1614C" w:rsidP="00B1614C">
      <w:pPr>
        <w:rPr>
          <w:rFonts w:cs="Arial"/>
          <w:color w:val="000000"/>
          <w:lang w:eastAsia="de-CH"/>
        </w:rPr>
      </w:pPr>
    </w:p>
    <w:p w:rsidR="0072027A" w:rsidRDefault="00B1614C" w:rsidP="00B1614C">
      <w:pPr>
        <w:rPr>
          <w:rFonts w:cs="Arial"/>
          <w:color w:val="000000"/>
          <w:lang w:eastAsia="de-CH"/>
        </w:rPr>
      </w:pPr>
      <w:r>
        <w:rPr>
          <w:rFonts w:cs="Arial"/>
          <w:color w:val="000000"/>
          <w:lang w:eastAsia="de-CH"/>
        </w:rPr>
        <w:t>Der UN-Kinderrechtsausschuss hat mittlerweile den Bund in einem Brief auf den mangelhaften Empfang von unbegleiteten minderjährigen Asylsuchenden in der Schweiz aufmerksam gemacht und Empfehlungen unterbreitet. Inzwischen haben einige Kantone eine ordnungsgemässe Betreuung aufgegleist. Nicht so im Kanton Thurgau. Die Schweiz hat das Übereinkommen der Vereinten Nationen unterzeichnet und muss sicherstellen, dass die Kinderrechte im ganzen Land und somit auch im Kanton Thurgau eingehalten werden.</w:t>
      </w:r>
      <w:r>
        <w:rPr>
          <w:rFonts w:cs="Arial"/>
          <w:color w:val="000000"/>
          <w:lang w:eastAsia="de-CH"/>
        </w:rPr>
        <w:br/>
      </w:r>
      <w:r>
        <w:rPr>
          <w:rFonts w:cs="Arial"/>
          <w:color w:val="000000"/>
          <w:lang w:eastAsia="de-CH"/>
        </w:rPr>
        <w:br/>
        <w:t>Kinder und Jugendliche brauchen eine altersgerechte, adäquate Betreuung und sollen auf das Erwerbs- und Erwachsenenleben vorbereitet werden. Fehlende Strukturen und eine mangelhafte Betreuung bergen die Gefahr einer Verwahrlosung und führen zu Langzeit-Sozialhilfebezügern. Den Kindern und Jugendlichen in der Schweiz, welche nicht von ihren Eltern betreut werden können, steht ein Beistand oder Vormund zu. Dieser wird durch die Kindes- und Erwachsenenschutzbehörde (KESB) ernannt.</w:t>
      </w:r>
      <w:r>
        <w:rPr>
          <w:rFonts w:cs="Arial"/>
          <w:color w:val="000000"/>
          <w:lang w:eastAsia="de-CH"/>
        </w:rPr>
        <w:br/>
      </w:r>
      <w:r>
        <w:rPr>
          <w:rFonts w:cs="Arial"/>
          <w:color w:val="000000"/>
          <w:lang w:eastAsia="de-CH"/>
        </w:rPr>
        <w:br/>
        <w:t>Ein minderjähriges Kind ist schutzbedürftig. Die KESB hat demnach diesbezüglich keinen Ermessensspielraum. Der entsprechenden Wohnsitzgemeinde entsteht eine unverhältnismässige finanzielle Belastung, resultierend aus Verfahrenskosten, Mandatsträgerentschädigungen und Platzierungskosten, ohne dass vollumfänglich eine Ausgleichszahlung durch den Kanton oder andere Gemeinden erfolgen würde. Zahlreiche Kantone reagieren darauf mit einer Ersatzvornahme und einem geregelten Verteilschlüssel, um die Belastung nicht auf eine Gemeinde zu konzentrieren.</w:t>
      </w:r>
    </w:p>
    <w:p w:rsidR="00B1614C" w:rsidRDefault="00B1614C" w:rsidP="00B1614C">
      <w:pPr>
        <w:rPr>
          <w:rFonts w:cs="Arial"/>
          <w:color w:val="000000"/>
          <w:lang w:eastAsia="de-CH"/>
        </w:rPr>
      </w:pPr>
    </w:p>
    <w:p w:rsidR="00B1614C" w:rsidRDefault="00B1614C" w:rsidP="00B1614C">
      <w:pPr>
        <w:rPr>
          <w:rFonts w:cs="Arial"/>
          <w:color w:val="000000"/>
          <w:lang w:eastAsia="de-CH"/>
        </w:rPr>
      </w:pPr>
    </w:p>
    <w:p w:rsidR="00B1614C" w:rsidRDefault="00B1614C" w:rsidP="00B1614C">
      <w:pPr>
        <w:rPr>
          <w:rFonts w:cs="Arial"/>
          <w:color w:val="000000"/>
          <w:lang w:eastAsia="de-CH"/>
        </w:rPr>
      </w:pPr>
    </w:p>
    <w:p w:rsidR="00B1614C" w:rsidRDefault="00B1614C" w:rsidP="00B1614C">
      <w:pPr>
        <w:rPr>
          <w:rFonts w:cs="Arial"/>
          <w:color w:val="000000"/>
          <w:lang w:eastAsia="de-CH"/>
        </w:rPr>
      </w:pPr>
    </w:p>
    <w:p w:rsidR="00B1614C" w:rsidRDefault="00B1614C" w:rsidP="00B1614C">
      <w:pPr>
        <w:rPr>
          <w:rFonts w:cs="Arial"/>
          <w:color w:val="000000"/>
          <w:lang w:eastAsia="de-CH"/>
        </w:rPr>
      </w:pPr>
      <w:r>
        <w:rPr>
          <w:rFonts w:cs="Arial"/>
          <w:color w:val="000000"/>
          <w:lang w:eastAsia="de-CH"/>
        </w:rPr>
        <w:t>Wir bitten den Regierungsrat um die Beantwortung der folgenden Fragen:</w:t>
      </w:r>
    </w:p>
    <w:p w:rsidR="00B1614C" w:rsidRDefault="00B1614C" w:rsidP="00B1614C">
      <w:pPr>
        <w:rPr>
          <w:rFonts w:cs="Arial"/>
          <w:color w:val="000000"/>
          <w:lang w:eastAsia="de-CH"/>
        </w:rPr>
      </w:pPr>
    </w:p>
    <w:p w:rsidR="00D57D6D" w:rsidRDefault="00D57D6D" w:rsidP="00D57D6D"/>
    <w:p w:rsidR="00797A59" w:rsidRDefault="00D57D6D" w:rsidP="00D57D6D">
      <w:pPr>
        <w:rPr>
          <w:rFonts w:cs="Arial"/>
          <w:color w:val="000000"/>
          <w:lang w:eastAsia="de-CH"/>
        </w:rPr>
      </w:pPr>
      <w:r>
        <w:rPr>
          <w:rFonts w:cs="Arial"/>
          <w:color w:val="000000"/>
          <w:lang w:eastAsia="de-CH"/>
        </w:rPr>
        <w:t xml:space="preserve">1. </w:t>
      </w:r>
      <w:r w:rsidR="00635109">
        <w:rPr>
          <w:rFonts w:cs="Arial"/>
          <w:color w:val="000000"/>
          <w:lang w:eastAsia="de-CH"/>
        </w:rPr>
        <w:t xml:space="preserve">Gibt es ein Konzept über </w:t>
      </w:r>
      <w:r w:rsidR="00C276F6">
        <w:rPr>
          <w:rFonts w:cs="Arial"/>
          <w:color w:val="000000"/>
          <w:lang w:eastAsia="de-CH"/>
        </w:rPr>
        <w:t>e</w:t>
      </w:r>
      <w:r>
        <w:rPr>
          <w:rFonts w:cs="Arial"/>
          <w:color w:val="000000"/>
          <w:lang w:eastAsia="de-CH"/>
        </w:rPr>
        <w:t>ine geeignete Unterbringungs- und Betreuungsstruktur, welche den besonderen Bedür</w:t>
      </w:r>
      <w:r w:rsidR="008C3DAB">
        <w:rPr>
          <w:rFonts w:cs="Arial"/>
          <w:color w:val="000000"/>
          <w:lang w:eastAsia="de-CH"/>
        </w:rPr>
        <w:t>fnissen der Betroffenen (UMA</w:t>
      </w:r>
      <w:r>
        <w:rPr>
          <w:rFonts w:cs="Arial"/>
          <w:color w:val="000000"/>
          <w:lang w:eastAsia="de-CH"/>
        </w:rPr>
        <w:t>) entspricht und den gesetzlichen Grundlage</w:t>
      </w:r>
      <w:r w:rsidR="005E42E3">
        <w:rPr>
          <w:rFonts w:cs="Arial"/>
          <w:color w:val="000000"/>
          <w:lang w:eastAsia="de-CH"/>
        </w:rPr>
        <w:t xml:space="preserve">n vollumfänglich Rechnung </w:t>
      </w:r>
      <w:r w:rsidR="00B1614C">
        <w:rPr>
          <w:rFonts w:cs="Arial"/>
          <w:color w:val="000000"/>
          <w:lang w:eastAsia="de-CH"/>
        </w:rPr>
        <w:t>trägt?</w:t>
      </w:r>
    </w:p>
    <w:p w:rsidR="00D57D6D" w:rsidRDefault="00D57D6D" w:rsidP="00D57D6D">
      <w:r>
        <w:rPr>
          <w:rFonts w:cs="Arial"/>
          <w:color w:val="000000"/>
          <w:lang w:eastAsia="de-CH"/>
        </w:rPr>
        <w:br/>
        <w:t xml:space="preserve">2. </w:t>
      </w:r>
      <w:r w:rsidR="00B1614C">
        <w:rPr>
          <w:rFonts w:cs="Arial"/>
          <w:color w:val="000000"/>
          <w:lang w:eastAsia="de-CH"/>
        </w:rPr>
        <w:t>Wie sieht der finanzielle</w:t>
      </w:r>
      <w:r>
        <w:rPr>
          <w:rFonts w:cs="Arial"/>
          <w:color w:val="000000"/>
          <w:lang w:eastAsia="de-CH"/>
        </w:rPr>
        <w:t xml:space="preserve"> Verteilschlüssel für den </w:t>
      </w:r>
      <w:r w:rsidR="008C3DAB">
        <w:rPr>
          <w:rFonts w:cs="Arial"/>
          <w:color w:val="000000"/>
          <w:lang w:eastAsia="de-CH"/>
        </w:rPr>
        <w:t>entstehenden Aufwand der UMA</w:t>
      </w:r>
      <w:r>
        <w:rPr>
          <w:rFonts w:cs="Arial"/>
          <w:color w:val="000000"/>
          <w:lang w:eastAsia="de-CH"/>
        </w:rPr>
        <w:t xml:space="preserve"> im Kanton Thurgau </w:t>
      </w:r>
      <w:r w:rsidR="00B1614C">
        <w:rPr>
          <w:rFonts w:cs="Arial"/>
          <w:color w:val="000000"/>
          <w:lang w:eastAsia="de-CH"/>
        </w:rPr>
        <w:t>aus</w:t>
      </w:r>
      <w:r>
        <w:rPr>
          <w:rFonts w:cs="Arial"/>
          <w:color w:val="000000"/>
          <w:lang w:eastAsia="de-CH"/>
        </w:rPr>
        <w:t>,</w:t>
      </w:r>
      <w:r w:rsidR="00B1614C">
        <w:rPr>
          <w:rFonts w:cs="Arial"/>
          <w:color w:val="000000"/>
          <w:lang w:eastAsia="de-CH"/>
        </w:rPr>
        <w:t xml:space="preserve"> um</w:t>
      </w:r>
      <w:r>
        <w:rPr>
          <w:rFonts w:cs="Arial"/>
          <w:color w:val="000000"/>
          <w:lang w:eastAsia="de-CH"/>
        </w:rPr>
        <w:t xml:space="preserve"> die Kosten entsprechend Entstehungsort und Umfang zu verteilen und damit die Solidarität</w:t>
      </w:r>
      <w:r w:rsidR="00B1614C">
        <w:rPr>
          <w:rFonts w:cs="Arial"/>
          <w:color w:val="000000"/>
          <w:lang w:eastAsia="de-CH"/>
        </w:rPr>
        <w:t xml:space="preserve"> unter den Gemeinden zu stärken?</w:t>
      </w:r>
      <w:r>
        <w:rPr>
          <w:rFonts w:cs="Arial"/>
          <w:color w:val="000000"/>
          <w:lang w:eastAsia="de-CH"/>
        </w:rPr>
        <w:br/>
      </w:r>
      <w:r>
        <w:rPr>
          <w:rFonts w:cs="Arial"/>
          <w:color w:val="000000"/>
          <w:lang w:eastAsia="de-CH"/>
        </w:rPr>
        <w:br/>
      </w:r>
    </w:p>
    <w:p w:rsidR="0072027A" w:rsidRDefault="0072027A"/>
    <w:p w:rsidR="0072027A" w:rsidRDefault="0072027A"/>
    <w:p w:rsidR="00A825F6" w:rsidRDefault="0042209C">
      <w:pPr>
        <w:rPr>
          <w:rFonts w:cs="Arial"/>
          <w:b/>
          <w:bCs/>
          <w:color w:val="000000"/>
          <w:lang w:eastAsia="de-CH"/>
        </w:rPr>
      </w:pPr>
      <w:r>
        <w:rPr>
          <w:rFonts w:cs="Arial"/>
          <w:color w:val="000000"/>
          <w:lang w:eastAsia="de-CH"/>
        </w:rPr>
        <w:br/>
      </w:r>
    </w:p>
    <w:p w:rsidR="00F534B6" w:rsidRDefault="00F534B6" w:rsidP="00F534B6">
      <w:pPr>
        <w:pStyle w:val="Listenabsatz"/>
        <w:rPr>
          <w:rFonts w:ascii="Arial" w:hAnsi="Arial" w:cs="Arial"/>
          <w:sz w:val="24"/>
          <w:szCs w:val="24"/>
        </w:rPr>
      </w:pPr>
    </w:p>
    <w:p w:rsidR="00DA68C7" w:rsidRDefault="00DA68C7" w:rsidP="00DA68C7">
      <w:pPr>
        <w:rPr>
          <w:rFonts w:cs="Arial"/>
          <w:color w:val="000000"/>
          <w:lang w:eastAsia="de-CH"/>
        </w:rPr>
      </w:pPr>
    </w:p>
    <w:p w:rsidR="0072027A" w:rsidRPr="008C3DAB" w:rsidRDefault="0042209C" w:rsidP="00DA68C7">
      <w:pPr>
        <w:rPr>
          <w:rFonts w:cs="Arial"/>
          <w:color w:val="000000"/>
          <w:lang w:eastAsia="de-CH"/>
        </w:rPr>
      </w:pPr>
      <w:r>
        <w:rPr>
          <w:rFonts w:cs="Arial"/>
          <w:color w:val="000000"/>
          <w:lang w:eastAsia="de-CH"/>
        </w:rPr>
        <w:br/>
      </w:r>
    </w:p>
    <w:p w:rsidR="00DD5790" w:rsidRDefault="00DD5790"/>
    <w:p w:rsidR="0072027A" w:rsidRDefault="00FB36EC">
      <w:r>
        <w:t xml:space="preserve">Weinfelden/Kreuzlingen </w:t>
      </w:r>
      <w:r w:rsidR="00F534B6">
        <w:t>4. Mai 2015</w:t>
      </w:r>
    </w:p>
    <w:p w:rsidR="00DA68C7" w:rsidRDefault="00DA68C7"/>
    <w:p w:rsidR="00DA68C7" w:rsidRDefault="00DA68C7"/>
    <w:p w:rsidR="0072027A" w:rsidRDefault="0072027A"/>
    <w:p w:rsidR="00B1614C" w:rsidRDefault="00B1614C"/>
    <w:p w:rsidR="00B1614C" w:rsidRDefault="00B1614C"/>
    <w:p w:rsidR="0072027A" w:rsidRDefault="0072027A"/>
    <w:p w:rsidR="0072027A" w:rsidRDefault="0072027A"/>
    <w:p w:rsidR="0072027A" w:rsidRDefault="00FB36EC">
      <w:r>
        <w:t>Brigitta Hartmann</w:t>
      </w:r>
      <w:r>
        <w:tab/>
      </w:r>
      <w:r>
        <w:tab/>
      </w:r>
      <w:r>
        <w:tab/>
      </w:r>
      <w:r>
        <w:tab/>
      </w:r>
      <w:r>
        <w:tab/>
      </w:r>
      <w:r>
        <w:tab/>
        <w:t>Barbara Kern</w:t>
      </w:r>
    </w:p>
    <w:p w:rsidR="00F534B6" w:rsidRDefault="00F534B6"/>
    <w:p w:rsidR="00F534B6" w:rsidRDefault="00F534B6"/>
    <w:p w:rsidR="00F534B6" w:rsidRDefault="00F534B6"/>
    <w:p w:rsidR="00F534B6" w:rsidRDefault="00F534B6"/>
    <w:p w:rsidR="0072027A" w:rsidRDefault="0072027A"/>
    <w:p w:rsidR="0072027A" w:rsidRDefault="00B1614C" w:rsidP="00B1614C">
      <w:r>
        <w:t xml:space="preserve"> </w:t>
      </w:r>
    </w:p>
    <w:sectPr w:rsidR="0072027A" w:rsidSect="00DD5790">
      <w:footerReference w:type="default" r:id="rId8"/>
      <w:headerReference w:type="first" r:id="rId9"/>
      <w:footerReference w:type="first" r:id="rId10"/>
      <w:pgSz w:w="11906" w:h="16838" w:code="9"/>
      <w:pgMar w:top="987" w:right="851" w:bottom="680" w:left="1701" w:header="680" w:footer="6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D88" w:rsidRDefault="007E7D88">
      <w:r>
        <w:separator/>
      </w:r>
    </w:p>
  </w:endnote>
  <w:endnote w:type="continuationSeparator" w:id="0">
    <w:p w:rsidR="007E7D88" w:rsidRDefault="007E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003530"/>
      <w:docPartObj>
        <w:docPartGallery w:val="Page Numbers (Bottom of Page)"/>
        <w:docPartUnique/>
      </w:docPartObj>
    </w:sdtPr>
    <w:sdtEndPr/>
    <w:sdtContent>
      <w:p w:rsidR="00635109" w:rsidRDefault="00635109">
        <w:pPr>
          <w:pStyle w:val="Fuzeile"/>
          <w:jc w:val="right"/>
        </w:pPr>
        <w:r>
          <w:fldChar w:fldCharType="begin"/>
        </w:r>
        <w:r>
          <w:instrText>PAGE   \* MERGEFORMAT</w:instrText>
        </w:r>
        <w:r>
          <w:fldChar w:fldCharType="separate"/>
        </w:r>
        <w:r w:rsidR="004508DB" w:rsidRPr="004508DB">
          <w:rPr>
            <w:noProof/>
            <w:lang w:val="de-DE"/>
          </w:rPr>
          <w:t>1</w:t>
        </w:r>
        <w:r>
          <w:fldChar w:fldCharType="end"/>
        </w:r>
      </w:p>
    </w:sdtContent>
  </w:sdt>
  <w:p w:rsidR="00635109" w:rsidRDefault="006351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27A" w:rsidRDefault="0072027A">
    <w:pPr>
      <w:pStyle w:val="Fuzeile"/>
      <w:spacing w:line="360" w:lineRule="auto"/>
      <w:jc w:val="right"/>
      <w:rPr>
        <w:sz w:val="12"/>
      </w:rPr>
    </w:pPr>
    <w:r>
      <w:rPr>
        <w:sz w:val="12"/>
        <w:lang w:val="de-DE"/>
      </w:rPr>
      <w:t xml:space="preserve">Seite </w:t>
    </w:r>
    <w:r>
      <w:rPr>
        <w:sz w:val="12"/>
        <w:lang w:val="de-DE"/>
      </w:rPr>
      <w:fldChar w:fldCharType="begin"/>
    </w:r>
    <w:r>
      <w:rPr>
        <w:sz w:val="12"/>
        <w:lang w:val="de-DE"/>
      </w:rPr>
      <w:instrText xml:space="preserve"> PAGE </w:instrText>
    </w:r>
    <w:r>
      <w:rPr>
        <w:sz w:val="12"/>
        <w:lang w:val="de-DE"/>
      </w:rPr>
      <w:fldChar w:fldCharType="separate"/>
    </w:r>
    <w:r w:rsidR="00DD5790">
      <w:rPr>
        <w:noProof/>
        <w:sz w:val="12"/>
        <w:lang w:val="de-DE"/>
      </w:rPr>
      <w:t>1</w:t>
    </w:r>
    <w:r>
      <w:rPr>
        <w:sz w:val="12"/>
        <w:lang w:val="de-DE"/>
      </w:rPr>
      <w:fldChar w:fldCharType="end"/>
    </w:r>
    <w:r>
      <w:rPr>
        <w:sz w:val="12"/>
        <w:lang w:val="de-DE"/>
      </w:rPr>
      <w:t xml:space="preserve"> von </w:t>
    </w:r>
    <w:r>
      <w:rPr>
        <w:sz w:val="12"/>
        <w:lang w:val="de-DE"/>
      </w:rPr>
      <w:fldChar w:fldCharType="begin"/>
    </w:r>
    <w:r>
      <w:rPr>
        <w:sz w:val="12"/>
        <w:lang w:val="de-DE"/>
      </w:rPr>
      <w:instrText xml:space="preserve"> NUMPAGES </w:instrText>
    </w:r>
    <w:r>
      <w:rPr>
        <w:sz w:val="12"/>
        <w:lang w:val="de-DE"/>
      </w:rPr>
      <w:fldChar w:fldCharType="separate"/>
    </w:r>
    <w:r w:rsidR="00914CB1">
      <w:rPr>
        <w:noProof/>
        <w:sz w:val="12"/>
        <w:lang w:val="de-DE"/>
      </w:rPr>
      <w:t>3</w:t>
    </w:r>
    <w:r>
      <w:rPr>
        <w:sz w:val="12"/>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D88" w:rsidRDefault="007E7D88">
      <w:r>
        <w:separator/>
      </w:r>
    </w:p>
  </w:footnote>
  <w:footnote w:type="continuationSeparator" w:id="0">
    <w:p w:rsidR="007E7D88" w:rsidRDefault="007E7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27A" w:rsidRDefault="0072027A">
    <w:pPr>
      <w:pStyle w:val="Kopfzeile"/>
      <w:spacing w:line="240" w:lineRule="aut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17F09"/>
    <w:multiLevelType w:val="hybridMultilevel"/>
    <w:tmpl w:val="C344B6DA"/>
    <w:lvl w:ilvl="0" w:tplc="E46A75FC">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25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B1"/>
    <w:rsid w:val="000B7315"/>
    <w:rsid w:val="000E797A"/>
    <w:rsid w:val="001B5FC5"/>
    <w:rsid w:val="00310FA4"/>
    <w:rsid w:val="003113DD"/>
    <w:rsid w:val="00320A2C"/>
    <w:rsid w:val="00386CAE"/>
    <w:rsid w:val="00393B0D"/>
    <w:rsid w:val="003A0931"/>
    <w:rsid w:val="003B3F41"/>
    <w:rsid w:val="003E2B4D"/>
    <w:rsid w:val="0042209C"/>
    <w:rsid w:val="004245EC"/>
    <w:rsid w:val="00445D9B"/>
    <w:rsid w:val="004508DB"/>
    <w:rsid w:val="005B5F1B"/>
    <w:rsid w:val="005E42E3"/>
    <w:rsid w:val="00635109"/>
    <w:rsid w:val="00640207"/>
    <w:rsid w:val="00663767"/>
    <w:rsid w:val="00673137"/>
    <w:rsid w:val="0072027A"/>
    <w:rsid w:val="00722CC8"/>
    <w:rsid w:val="00734615"/>
    <w:rsid w:val="00797A59"/>
    <w:rsid w:val="007D53EA"/>
    <w:rsid w:val="007E4E1C"/>
    <w:rsid w:val="007E7D88"/>
    <w:rsid w:val="008C3DAB"/>
    <w:rsid w:val="008E019B"/>
    <w:rsid w:val="00914CB1"/>
    <w:rsid w:val="00943562"/>
    <w:rsid w:val="009630E1"/>
    <w:rsid w:val="009D5DB1"/>
    <w:rsid w:val="009F56ED"/>
    <w:rsid w:val="00A34279"/>
    <w:rsid w:val="00A42D01"/>
    <w:rsid w:val="00A825F6"/>
    <w:rsid w:val="00B061E0"/>
    <w:rsid w:val="00B1614C"/>
    <w:rsid w:val="00B16421"/>
    <w:rsid w:val="00B576C0"/>
    <w:rsid w:val="00B616ED"/>
    <w:rsid w:val="00C276F6"/>
    <w:rsid w:val="00C5337E"/>
    <w:rsid w:val="00CD0718"/>
    <w:rsid w:val="00CF4557"/>
    <w:rsid w:val="00D27086"/>
    <w:rsid w:val="00D57D6D"/>
    <w:rsid w:val="00D6240B"/>
    <w:rsid w:val="00D732AA"/>
    <w:rsid w:val="00D744E6"/>
    <w:rsid w:val="00D8369A"/>
    <w:rsid w:val="00DA68C7"/>
    <w:rsid w:val="00DD5790"/>
    <w:rsid w:val="00DE6D8C"/>
    <w:rsid w:val="00F4133F"/>
    <w:rsid w:val="00F4423D"/>
    <w:rsid w:val="00F534B6"/>
    <w:rsid w:val="00F537C9"/>
    <w:rsid w:val="00F55BC1"/>
    <w:rsid w:val="00F70D86"/>
    <w:rsid w:val="00FA3F98"/>
    <w:rsid w:val="00FB36E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434986-F2A1-4110-AA1D-3B429DF3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paragraph" w:styleId="berschrift2">
    <w:name w:val="heading 2"/>
    <w:basedOn w:val="Standard"/>
    <w:next w:val="Standard"/>
    <w:qFormat/>
    <w:pPr>
      <w:keepNext/>
      <w:outlineLvl w:val="1"/>
    </w:pPr>
    <w:rPr>
      <w:b/>
      <w:bCs/>
      <w:sz w:val="28"/>
    </w:rPr>
  </w:style>
  <w:style w:type="paragraph" w:styleId="berschrift3">
    <w:name w:val="heading 3"/>
    <w:basedOn w:val="Standard"/>
    <w:next w:val="Standard"/>
    <w:qFormat/>
    <w:pPr>
      <w:keepNext/>
      <w:framePr w:w="3555" w:h="1621" w:hSpace="141" w:wrap="around" w:vAnchor="text" w:hAnchor="page" w:x="7485" w:y="-741"/>
      <w:pBdr>
        <w:top w:val="single" w:sz="6" w:space="1" w:color="auto"/>
        <w:left w:val="single" w:sz="6" w:space="1" w:color="auto"/>
        <w:bottom w:val="single" w:sz="6" w:space="1" w:color="auto"/>
        <w:right w:val="single" w:sz="6" w:space="1" w:color="auto"/>
      </w:pBdr>
      <w:jc w:val="center"/>
      <w:outlineLvl w:val="2"/>
    </w:pPr>
    <w:rPr>
      <w:b/>
      <w:bCs/>
      <w:sz w:val="28"/>
    </w:rPr>
  </w:style>
  <w:style w:type="paragraph" w:styleId="berschrift4">
    <w:name w:val="heading 4"/>
    <w:basedOn w:val="Standard"/>
    <w:next w:val="Standard"/>
    <w:qFormat/>
    <w:pPr>
      <w:keepNext/>
      <w:jc w:val="center"/>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link w:val="FuzeileZchn"/>
    <w:uiPriority w:val="99"/>
    <w:pPr>
      <w:tabs>
        <w:tab w:val="center" w:pos="4536"/>
        <w:tab w:val="right" w:pos="9072"/>
      </w:tabs>
      <w:spacing w:line="220" w:lineRule="exact"/>
    </w:pPr>
    <w:rPr>
      <w:sz w:val="18"/>
    </w:rPr>
  </w:style>
  <w:style w:type="character" w:styleId="Seitenzahl">
    <w:name w:val="page number"/>
    <w:basedOn w:val="Absatz-Standardschriftart"/>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table" w:styleId="Tabellenraster">
    <w:name w:val="Table Grid"/>
    <w:basedOn w:val="NormaleTabelle"/>
    <w:rsid w:val="009D5DB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berschrift">
    <w:name w:val="CIÜberschrift"/>
    <w:basedOn w:val="berschrift1"/>
  </w:style>
  <w:style w:type="paragraph" w:styleId="Sprechblasentext">
    <w:name w:val="Balloon Text"/>
    <w:basedOn w:val="Standard"/>
    <w:semiHidden/>
    <w:rsid w:val="009F56ED"/>
    <w:rPr>
      <w:rFonts w:ascii="Tahoma" w:hAnsi="Tahoma" w:cs="Tahoma"/>
      <w:sz w:val="16"/>
      <w:szCs w:val="16"/>
    </w:rPr>
  </w:style>
  <w:style w:type="paragraph" w:styleId="Listenabsatz">
    <w:name w:val="List Paragraph"/>
    <w:basedOn w:val="Standard"/>
    <w:uiPriority w:val="34"/>
    <w:qFormat/>
    <w:rsid w:val="00A825F6"/>
    <w:pPr>
      <w:spacing w:line="240" w:lineRule="auto"/>
      <w:ind w:left="720"/>
    </w:pPr>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635109"/>
    <w:rPr>
      <w:rFonts w:ascii="Arial" w:hAnsi="Arial"/>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93200-482C-47A0-BDCC-FACAFC00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subject/>
  <dc:creator>afidie</dc:creator>
  <cp:keywords/>
  <dc:description/>
  <cp:lastModifiedBy>Brigitta Hartmann</cp:lastModifiedBy>
  <cp:revision>4</cp:revision>
  <cp:lastPrinted>2009-01-16T14:34:00Z</cp:lastPrinted>
  <dcterms:created xsi:type="dcterms:W3CDTF">2016-05-03T07:20:00Z</dcterms:created>
  <dcterms:modified xsi:type="dcterms:W3CDTF">2016-05-03T07:32:00Z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RSessionDate">
    <vt:lpwstr>Nicht verfügbar</vt:lpwstr>
  </property>
  <property fmtid="{D5CDD505-2E9C-101B-9397-08002B2CF9AE}" pid="3" name="FSC#FSCIBISDOCPROPS@15.1400:RRBNumber">
    <vt:lpwstr>Nicht verfügbar</vt:lpwstr>
  </property>
  <property fmtid="{D5CDD505-2E9C-101B-9397-08002B2CF9AE}" pid="4" name="COO$NOPARSEFILE">
    <vt:lpwstr/>
  </property>
  <property fmtid="{D5CDD505-2E9C-101B-9397-08002B2CF9AE}" pid="5" name="FSC$NOPARSEFILE">
    <vt:lpwstr/>
  </property>
  <property fmtid="{D5CDD505-2E9C-101B-9397-08002B2CF9AE}" pid="6" name="COO$NOUSEREXPRESSIONS">
    <vt:lpwstr/>
  </property>
  <property fmtid="{D5CDD505-2E9C-101B-9397-08002B2CF9AE}" pid="7" name="FSC$NOUSEREXPRESSIONS">
    <vt:lpwstr/>
  </property>
  <property fmtid="{D5CDD505-2E9C-101B-9397-08002B2CF9AE}" pid="8" name="COO$NOVIRTUALATTRS">
    <vt:lpwstr/>
  </property>
  <property fmtid="{D5CDD505-2E9C-101B-9397-08002B2CF9AE}" pid="9" name="FSC$NOVIRTUALATTRS">
    <vt:lpwstr/>
  </property>
  <property fmtid="{D5CDD505-2E9C-101B-9397-08002B2CF9AE}" pid="10" name="FSC#COOSYSTEM@1.1:Container">
    <vt:lpwstr>COO.2103.100.8.942797</vt:lpwstr>
  </property>
  <property fmtid="{D5CDD505-2E9C-101B-9397-08002B2CF9AE}" pid="11" name="FSC#FSCIBISDOCPROPS@15.1400:Objectname">
    <vt:lpwstr>Antrag gem_ § 52 GOGR</vt:lpwstr>
  </property>
  <property fmtid="{D5CDD505-2E9C-101B-9397-08002B2CF9AE}" pid="12" name="FSC#FSCIBISDOCPROPS@15.1400:Subject">
    <vt:lpwstr>Nicht verfügbar</vt:lpwstr>
  </property>
  <property fmtid="{D5CDD505-2E9C-101B-9397-08002B2CF9AE}" pid="13" name="FSC#FSCIBISDOCPROPS@15.1400:Owner">
    <vt:lpwstr>Wiederkehr, Marietta</vt:lpwstr>
  </property>
  <property fmtid="{D5CDD505-2E9C-101B-9397-08002B2CF9AE}" pid="14" name="FSC#FSCIBISDOCPROPS@15.1400:OwnerAbbreviation">
    <vt:lpwstr/>
  </property>
  <property fmtid="{D5CDD505-2E9C-101B-9397-08002B2CF9AE}" pid="15" name="FSC#FSCIBISDOCPROPS@15.1400:GroupShortName">
    <vt:lpwstr>SK_PD</vt:lpwstr>
  </property>
  <property fmtid="{D5CDD505-2E9C-101B-9397-08002B2CF9AE}" pid="16" name="FSC#FSCIBISDOCPROPS@15.1400:TopLevelSubfileName">
    <vt:lpwstr>Nicht verfügbar</vt:lpwstr>
  </property>
  <property fmtid="{D5CDD505-2E9C-101B-9397-08002B2CF9AE}" pid="17" name="FSC#FSCIBISDOCPROPS@15.1400:TopLevelSubfileNumber">
    <vt:lpwstr>Nicht verfügbar</vt:lpwstr>
  </property>
  <property fmtid="{D5CDD505-2E9C-101B-9397-08002B2CF9AE}" pid="18" name="FSC#FSCIBISDOCPROPS@15.1400:TitleSubFile">
    <vt:lpwstr>Nicht verfügbar</vt:lpwstr>
  </property>
  <property fmtid="{D5CDD505-2E9C-101B-9397-08002B2CF9AE}" pid="19" name="FSC#FSCIBISDOCPROPS@15.1400:TopLevelDossierName">
    <vt:lpwstr>Nicht verfügbar</vt:lpwstr>
  </property>
  <property fmtid="{D5CDD505-2E9C-101B-9397-08002B2CF9AE}" pid="20" name="FSC#FSCIBISDOCPROPS@15.1400:TopLevelDossierNumber">
    <vt:lpwstr>Nicht verfügbar</vt:lpwstr>
  </property>
  <property fmtid="{D5CDD505-2E9C-101B-9397-08002B2CF9AE}" pid="21" name="FSC#FSCIBISDOCPROPS@15.1400:TopLevelDossierYear">
    <vt:lpwstr>Nicht verfügbar</vt:lpwstr>
  </property>
  <property fmtid="{D5CDD505-2E9C-101B-9397-08002B2CF9AE}" pid="22" name="FSC#FSCIBISDOCPROPS@15.1400:TopLevelDossierTitel">
    <vt:lpwstr>Nicht verfügbar</vt:lpwstr>
  </property>
  <property fmtid="{D5CDD505-2E9C-101B-9397-08002B2CF9AE}" pid="23" name="FSC#FSCIBISDOCPROPS@15.1400:TopLevelDossierRespOrgShortname">
    <vt:lpwstr>Nicht verfügbar</vt:lpwstr>
  </property>
  <property fmtid="{D5CDD505-2E9C-101B-9397-08002B2CF9AE}" pid="24" name="FSC#FSCIBISDOCPROPS@15.1400:TopLevelDossierResponsible">
    <vt:lpwstr>Nicht verfügbar</vt:lpwstr>
  </property>
  <property fmtid="{D5CDD505-2E9C-101B-9397-08002B2CF9AE}" pid="25" name="FSC#FSCIBISDOCPROPS@15.1400:TopLevelSubjectGroupPosNumber">
    <vt:lpwstr>Nicht verfügbar</vt:lpwstr>
  </property>
  <property fmtid="{D5CDD505-2E9C-101B-9397-08002B2CF9AE}" pid="26" name="FSC#COOELAK@1.1001:Subject">
    <vt:lpwstr>Antrag gem_ § 52 GOGR</vt:lpwstr>
  </property>
  <property fmtid="{D5CDD505-2E9C-101B-9397-08002B2CF9AE}" pid="27" name="FSC#COOELAK@1.1001:FileReference">
    <vt:lpwstr/>
  </property>
  <property fmtid="{D5CDD505-2E9C-101B-9397-08002B2CF9AE}" pid="28" name="FSC#COOELAK@1.1001:FileRefYear">
    <vt:lpwstr/>
  </property>
  <property fmtid="{D5CDD505-2E9C-101B-9397-08002B2CF9AE}" pid="29" name="FSC#COOELAK@1.1001:FileRefOrdinal">
    <vt:lpwstr/>
  </property>
  <property fmtid="{D5CDD505-2E9C-101B-9397-08002B2CF9AE}" pid="30" name="FSC#COOELAK@1.1001:FileRefOU">
    <vt:lpwstr/>
  </property>
  <property fmtid="{D5CDD505-2E9C-101B-9397-08002B2CF9AE}" pid="31" name="FSC#COOELAK@1.1001:Organization">
    <vt:lpwstr/>
  </property>
  <property fmtid="{D5CDD505-2E9C-101B-9397-08002B2CF9AE}" pid="32" name="FSC#COOELAK@1.1001:Owner">
    <vt:lpwstr> Wiederkehr</vt:lpwstr>
  </property>
  <property fmtid="{D5CDD505-2E9C-101B-9397-08002B2CF9AE}" pid="33" name="FSC#COOELAK@1.1001:OwnerExtension">
    <vt:lpwstr>+41 52 724 23 21</vt:lpwstr>
  </property>
  <property fmtid="{D5CDD505-2E9C-101B-9397-08002B2CF9AE}" pid="34" name="FSC#COOELAK@1.1001:OwnerFaxExtension">
    <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SK Parlamentsdienste (SK_PD)</vt:lpwstr>
  </property>
  <property fmtid="{D5CDD505-2E9C-101B-9397-08002B2CF9AE}" pid="40" name="FSC#COOELAK@1.1001:CreatedAt">
    <vt:lpwstr>13.07.2007 13:04:00</vt:lpwstr>
  </property>
  <property fmtid="{D5CDD505-2E9C-101B-9397-08002B2CF9AE}" pid="41" name="FSC#COOELAK@1.1001:OU">
    <vt:lpwstr>SK Parlamentsdienste (SK_PD)</vt:lpwstr>
  </property>
  <property fmtid="{D5CDD505-2E9C-101B-9397-08002B2CF9AE}" pid="42" name="FSC#COOELAK@1.1001:Priority">
    <vt:lpwstr/>
  </property>
  <property fmtid="{D5CDD505-2E9C-101B-9397-08002B2CF9AE}" pid="43" name="FSC#COOELAK@1.1001:ObjBarCode">
    <vt:lpwstr>*COO.2103.100.8.942797*</vt:lpwstr>
  </property>
  <property fmtid="{D5CDD505-2E9C-101B-9397-08002B2CF9AE}" pid="44" name="FSC#COOELAK@1.1001:RefBarCode">
    <vt:lpwstr>*Antrag gem_ § 52 GOGR*</vt:lpwstr>
  </property>
  <property fmtid="{D5CDD505-2E9C-101B-9397-08002B2CF9AE}" pid="45" name="FSC#COOELAK@1.1001:FileRefBarCode">
    <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
  </property>
  <property fmtid="{D5CDD505-2E9C-101B-9397-08002B2CF9AE}" pid="59" name="FSC#ELAKGOV@1.1001:PersonalSubjGender">
    <vt:lpwstr/>
  </property>
  <property fmtid="{D5CDD505-2E9C-101B-9397-08002B2CF9AE}" pid="60" name="FSC#ELAKGOV@1.1001:PersonalSubjFirstName">
    <vt:lpwstr/>
  </property>
  <property fmtid="{D5CDD505-2E9C-101B-9397-08002B2CF9AE}" pid="61" name="FSC#ELAKGOV@1.1001:PersonalSubjSurName">
    <vt:lpwstr/>
  </property>
  <property fmtid="{D5CDD505-2E9C-101B-9397-08002B2CF9AE}" pid="62" name="FSC#ELAKGOV@1.1001:PersonalSubjSalutation">
    <vt:lpwstr/>
  </property>
  <property fmtid="{D5CDD505-2E9C-101B-9397-08002B2CF9AE}" pid="63" name="FSC#ELAKGOV@1.1001:PersonalSubjAddress">
    <vt:lpwstr/>
  </property>
  <property fmtid="{D5CDD505-2E9C-101B-9397-08002B2CF9AE}" pid="64" name="FSC#FSCIBISDOCPROPS@15.1400:DossierRef">
    <vt:lpwstr>Nicht verfügbar</vt:lpwstr>
  </property>
  <property fmtid="{D5CDD505-2E9C-101B-9397-08002B2CF9AE}" pid="65" name="FSC#COOELAK@1.1001:CurrentUserRolePos">
    <vt:lpwstr>Sachbearbeiter/-in</vt:lpwstr>
  </property>
  <property fmtid="{D5CDD505-2E9C-101B-9397-08002B2CF9AE}" pid="66" name="FSC#COOELAK@1.1001:CurrentUserEmail">
    <vt:lpwstr>marietta.wiederkehr@tg.ch</vt:lpwstr>
  </property>
</Properties>
</file>